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(IAA specialist)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IAA Specialist의 역할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게임의 광고 수익 전략을 세우고 실행합니다.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icrosoft Yahei" w:cs="Microsoft Yahei" w:eastAsia="Microsoft Yahei" w:hAnsi="Microsoft Yahei"/>
          <w:shd w:fill="fdfdfd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수익화 모델을 이해하고 적용하여 광고 네트워크를 최적화합니다.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광고 미디에이션을 관리하고 최적화합니다.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icrosoft Yahei" w:cs="Microsoft Yahei" w:eastAsia="Microsoft Yahei" w:hAnsi="Microsoft Yahei"/>
          <w:shd w:fill="fdfdfd" w:val="clear"/>
        </w:rPr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광고 인벤토리의 퀄리티를 관리합니다.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icrosoft Yahei" w:cs="Microsoft Yahei" w:eastAsia="Microsoft Yahei" w:hAnsi="Microsoft Yahei"/>
          <w:shd w:fill="fdfdfd" w:val="clear"/>
        </w:rPr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광고 수익 파트너들과 신뢰관계를 구축하고 광고 수익 최적화를 위해 협업합니다.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icrosoft Yahei" w:cs="Microsoft Yahei" w:eastAsia="Microsoft Yahei" w:hAnsi="Microsoft Yahei"/>
          <w:shd w:fill="fdfdfd" w:val="clear"/>
        </w:rPr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광고 지면과 광고 순위 워터폴l의 A/B 테스트, 유저 segment 분류를 통해 광고 수익을 최적화 합니다.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icrosoft Yahei" w:cs="Microsoft Yahei" w:eastAsia="Microsoft Yahei" w:hAnsi="Microsoft Yahei"/>
          <w:shd w:fill="fdfdfd" w:val="clear"/>
        </w:rPr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개발팀과 협업하여 광고 지면 및 새로운 광고 포맷의 최적화를 진행합니다.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IAA Specialist의 미션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광고 트래픽을 최대한 효율적으로 판매한다..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목표 ARPDAU를 달성하여 회사의 성장의 한축이 된다.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전략의 성공과 실패 근거를 분석하고, 이를 통해 IAA Work rule을 개선합니다.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Microsoft Yahei" w:cs="Microsoft Yahei" w:eastAsia="Microsoft Yahei" w:hAnsi="Microsoft Yahei"/>
          <w:shd w:fill="fdfdfd" w:val="clear"/>
          <w:rtl w:val="0"/>
        </w:rPr>
        <w:t xml:space="preserve">모바일 게임 광고 수익화 대한 꾸준한 관심을 바탕으로 시장의 트렌드를 따릅니다.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IAA 노하우를 전파하고, 팀원들이 함께 성장할 수 있도록 돕습니다.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